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25" w:rsidRPr="00ED7F8A" w:rsidRDefault="00B70E25" w:rsidP="00B70E25">
      <w:pPr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F8A">
        <w:rPr>
          <w:rFonts w:ascii="Times New Roman" w:hAnsi="Times New Roman" w:cs="Times New Roman"/>
          <w:bCs/>
          <w:sz w:val="28"/>
          <w:szCs w:val="28"/>
        </w:rPr>
        <w:t>РЕЗОЛЮЦИЯ</w:t>
      </w:r>
    </w:p>
    <w:p w:rsidR="00B70E25" w:rsidRDefault="00B70E25" w:rsidP="00B70E25">
      <w:pPr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F8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981C66" w:rsidRPr="00ED7F8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D7F8A">
        <w:rPr>
          <w:rFonts w:ascii="Times New Roman" w:hAnsi="Times New Roman" w:cs="Times New Roman"/>
          <w:bCs/>
          <w:sz w:val="28"/>
          <w:szCs w:val="28"/>
        </w:rPr>
        <w:t xml:space="preserve"> Всероссийского Форума «Энергоэффективная Россия»</w:t>
      </w:r>
    </w:p>
    <w:p w:rsidR="000D492A" w:rsidRDefault="000D492A" w:rsidP="00B70E25">
      <w:pPr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92A" w:rsidRPr="00ED04FF" w:rsidRDefault="000D492A" w:rsidP="000D49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 сентября 2020</w:t>
      </w:r>
      <w:r w:rsidRPr="00ED04FF">
        <w:rPr>
          <w:rFonts w:ascii="Times New Roman" w:hAnsi="Times New Roman" w:cs="Times New Roman"/>
          <w:sz w:val="28"/>
          <w:szCs w:val="28"/>
        </w:rPr>
        <w:t xml:space="preserve"> года состоялся </w:t>
      </w:r>
      <w:r w:rsidRPr="00ED04F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04FF">
        <w:rPr>
          <w:rFonts w:ascii="Times New Roman" w:hAnsi="Times New Roman" w:cs="Times New Roman"/>
          <w:sz w:val="28"/>
          <w:szCs w:val="28"/>
        </w:rPr>
        <w:t xml:space="preserve"> ВСЕРОССИЙСКИЙ ФОРУМ «ЭНЕРГОЭФФЕКТИВНАЯ РОССИЯ».</w:t>
      </w:r>
    </w:p>
    <w:p w:rsidR="000D492A" w:rsidRPr="00ED04FF" w:rsidRDefault="000D492A" w:rsidP="000D49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Pr="00ED04F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04FF">
        <w:rPr>
          <w:rFonts w:ascii="Times New Roman" w:hAnsi="Times New Roman" w:cs="Times New Roman"/>
          <w:sz w:val="28"/>
          <w:szCs w:val="28"/>
        </w:rPr>
        <w:t xml:space="preserve"> Всероссийского форума «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Россия» выступили Национальное объединение организаций в области энергосбережения и повышения энергетической эффективности (НОЭ) при участии Национального объединения изыскателей и проектировщиков (НОПРИЗ) и РОО «Общественный совет по развитию саморегулирования». Официальную подд</w:t>
      </w:r>
      <w:r>
        <w:rPr>
          <w:rFonts w:ascii="Times New Roman" w:hAnsi="Times New Roman" w:cs="Times New Roman"/>
          <w:sz w:val="28"/>
          <w:szCs w:val="28"/>
        </w:rPr>
        <w:t xml:space="preserve">ержку мероприятия осуществляли </w:t>
      </w:r>
      <w:r w:rsidRPr="00ED04FF">
        <w:rPr>
          <w:rFonts w:ascii="Times New Roman" w:hAnsi="Times New Roman" w:cs="Times New Roman"/>
          <w:sz w:val="28"/>
          <w:szCs w:val="28"/>
        </w:rPr>
        <w:t xml:space="preserve">Государственная Дума Федерального Собрания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Совет Федераций Федерального Собрания Российской Федерации, </w:t>
      </w:r>
      <w:r w:rsidRPr="00ED04FF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ED04FF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ED04F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D04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энергетики Российской Федерации, </w:t>
      </w:r>
      <w:r w:rsidRPr="00ED04FF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истерство строительства и жилищно-коммунального хозяйства</w:t>
      </w:r>
      <w:r w:rsidRPr="00ED04FF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4E6E96">
        <w:rPr>
          <w:rFonts w:ascii="Times New Roman" w:hAnsi="Times New Roman" w:cs="Times New Roman"/>
          <w:sz w:val="28"/>
          <w:szCs w:val="28"/>
        </w:rPr>
        <w:t>йской Федерации, Министерство энергетики Московской области.</w:t>
      </w:r>
    </w:p>
    <w:p w:rsidR="000D492A" w:rsidRDefault="000D492A" w:rsidP="000D4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04FF">
        <w:rPr>
          <w:rFonts w:ascii="Times New Roman" w:hAnsi="Times New Roman" w:cs="Times New Roman"/>
          <w:sz w:val="28"/>
          <w:szCs w:val="28"/>
        </w:rPr>
        <w:t>В работе Форума приняли участие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ED04FF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04FF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Аппарата Правительства Российской Федерации, </w:t>
      </w:r>
      <w:r w:rsidRPr="00ED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природопользования, </w:t>
      </w:r>
      <w:r w:rsidRPr="00ED04FF">
        <w:rPr>
          <w:rFonts w:ascii="Times New Roman" w:hAnsi="Times New Roman" w:cs="Times New Roman"/>
          <w:sz w:val="28"/>
          <w:szCs w:val="28"/>
        </w:rPr>
        <w:t xml:space="preserve">Государственной корпорации – Фонда содействия реформированию ЖКХ, </w:t>
      </w:r>
      <w:r>
        <w:rPr>
          <w:rFonts w:ascii="Times New Roman" w:hAnsi="Times New Roman" w:cs="Times New Roman"/>
          <w:sz w:val="28"/>
          <w:szCs w:val="28"/>
        </w:rPr>
        <w:t xml:space="preserve">ФГБУ «Российское энергетическое агентство» Минэнерго России, </w:t>
      </w:r>
      <w:r w:rsidRPr="00ED04FF">
        <w:rPr>
          <w:rFonts w:ascii="Times New Roman" w:hAnsi="Times New Roman" w:cs="Times New Roman"/>
          <w:sz w:val="28"/>
          <w:szCs w:val="28"/>
        </w:rPr>
        <w:t>АНО «Национальное агентство развития квалификаций», Ассоциации региональных операторов капитального ремонта многоквартирных домов, Государственного автономного учреж</w:t>
      </w:r>
      <w:r>
        <w:rPr>
          <w:rFonts w:ascii="Times New Roman" w:hAnsi="Times New Roman" w:cs="Times New Roman"/>
          <w:sz w:val="28"/>
          <w:szCs w:val="28"/>
        </w:rPr>
        <w:t xml:space="preserve">дения города Москвы «Московская </w:t>
      </w:r>
      <w:r w:rsidRPr="00ED04FF">
        <w:rPr>
          <w:rFonts w:ascii="Times New Roman" w:hAnsi="Times New Roman" w:cs="Times New Roman"/>
          <w:sz w:val="28"/>
          <w:szCs w:val="28"/>
        </w:rPr>
        <w:t>государственная экспертиза»</w:t>
      </w:r>
      <w:r>
        <w:rPr>
          <w:rFonts w:ascii="Times New Roman" w:hAnsi="Times New Roman" w:cs="Times New Roman"/>
          <w:sz w:val="28"/>
          <w:szCs w:val="28"/>
        </w:rPr>
        <w:t xml:space="preserve">, Комитета </w:t>
      </w:r>
      <w:r w:rsidRPr="00AF56B2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B2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56B2">
        <w:rPr>
          <w:rFonts w:ascii="Times New Roman" w:hAnsi="Times New Roman" w:cs="Times New Roman"/>
          <w:sz w:val="28"/>
          <w:szCs w:val="28"/>
        </w:rPr>
        <w:t>адзора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04FF">
        <w:rPr>
          <w:rFonts w:ascii="Times New Roman" w:hAnsi="Times New Roman" w:cs="Times New Roman"/>
          <w:sz w:val="28"/>
          <w:szCs w:val="28"/>
        </w:rPr>
        <w:t>РОО «Общественный совет по развитию саморегулирования»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6DC0">
        <w:rPr>
          <w:rFonts w:ascii="Times New Roman" w:hAnsi="Times New Roman" w:cs="Times New Roman"/>
          <w:sz w:val="28"/>
          <w:szCs w:val="28"/>
        </w:rPr>
        <w:t xml:space="preserve">Международной ассоциации фондов жилищного строительства и ипотечного кредитования, </w:t>
      </w:r>
      <w:r>
        <w:rPr>
          <w:rFonts w:ascii="Times New Roman" w:hAnsi="Times New Roman" w:cs="Times New Roman"/>
          <w:sz w:val="28"/>
          <w:szCs w:val="28"/>
        </w:rPr>
        <w:t>Российской Ассоциации малой энергетики</w:t>
      </w:r>
      <w:r w:rsidRPr="00ED04FF">
        <w:rPr>
          <w:rFonts w:ascii="Times New Roman" w:hAnsi="Times New Roman" w:cs="Times New Roman"/>
          <w:sz w:val="28"/>
          <w:szCs w:val="28"/>
        </w:rPr>
        <w:t>; представители профессиональных сообществ: НОЭ, НОПРИЗ, АС «АВОК Северо-запад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04FF">
        <w:rPr>
          <w:rFonts w:ascii="Times New Roman" w:hAnsi="Times New Roman" w:cs="Times New Roman"/>
          <w:sz w:val="28"/>
          <w:szCs w:val="28"/>
        </w:rPr>
        <w:t xml:space="preserve">; ведущие производители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энергоэффективной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продукции, топ-менеджеры и эксперты крупных инвестиционных, строительных,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энергоаудиторских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FF">
        <w:rPr>
          <w:rFonts w:ascii="Times New Roman" w:hAnsi="Times New Roman" w:cs="Times New Roman"/>
          <w:sz w:val="28"/>
          <w:szCs w:val="28"/>
        </w:rPr>
        <w:t>компаний, научных организаций, банков, консалтинговых фирм из различных регионов России.</w:t>
      </w:r>
    </w:p>
    <w:p w:rsidR="000D492A" w:rsidRDefault="000D492A" w:rsidP="000D49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FF">
        <w:rPr>
          <w:rFonts w:ascii="Times New Roman" w:eastAsia="Times New Roman" w:hAnsi="Times New Roman" w:cs="Times New Roman"/>
          <w:sz w:val="28"/>
          <w:szCs w:val="28"/>
        </w:rPr>
        <w:t xml:space="preserve">В рамках деловой программы Форума было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77FD">
        <w:rPr>
          <w:rFonts w:ascii="Times New Roman" w:eastAsia="Times New Roman" w:hAnsi="Times New Roman" w:cs="Times New Roman"/>
          <w:sz w:val="28"/>
          <w:szCs w:val="28"/>
        </w:rPr>
        <w:t xml:space="preserve"> панельных дискуссии,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конференция НОПРИЗ</w:t>
      </w:r>
      <w:r w:rsidRPr="003D77FD">
        <w:rPr>
          <w:rFonts w:ascii="Times New Roman" w:eastAsia="Times New Roman" w:hAnsi="Times New Roman" w:cs="Times New Roman"/>
          <w:sz w:val="28"/>
          <w:szCs w:val="28"/>
        </w:rPr>
        <w:t xml:space="preserve"> для специалистов саморегулируемых организаций и</w:t>
      </w:r>
      <w:r>
        <w:rPr>
          <w:rFonts w:ascii="Times New Roman" w:eastAsia="Times New Roman" w:hAnsi="Times New Roman" w:cs="Times New Roman"/>
          <w:sz w:val="28"/>
          <w:szCs w:val="28"/>
        </w:rPr>
        <w:t>зыскателей и проектировщиков</w:t>
      </w:r>
      <w:r w:rsidRPr="003D7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92A" w:rsidRDefault="000D492A" w:rsidP="000D4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Форума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 подготовлена Резолюция, решения которой направлены на совершенствование законодательного и нормативно-технического регулирования в области энергосбережения и повышения энергетической эффективности и содержат следующие положения:</w:t>
      </w:r>
    </w:p>
    <w:p w:rsidR="000D492A" w:rsidRDefault="000D492A" w:rsidP="00B70E25">
      <w:pPr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92A" w:rsidRDefault="000D492A" w:rsidP="00B70E25">
      <w:pPr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92A" w:rsidRPr="00ED7F8A" w:rsidRDefault="000D492A" w:rsidP="00B70E25">
      <w:pPr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77FD" w:rsidRPr="00ED7F8A" w:rsidRDefault="003D77FD" w:rsidP="00B70E25">
      <w:pPr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0E25" w:rsidRPr="00ED7F8A" w:rsidRDefault="00B70E25" w:rsidP="00B70E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lastRenderedPageBreak/>
        <w:t>Продолжить совершенствование нормативной правовой базы в области энергосбережения и повышения энергетической эффективности с целью создания дополнительных стимулов к повышению энергетической эффективности российской экономики.</w:t>
      </w:r>
    </w:p>
    <w:p w:rsidR="006C3605" w:rsidRDefault="006C3605" w:rsidP="006C36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7F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Разработать и направить в Правительство Российской Федерации предложения по актуализации основных целей и задач повышения энергетической эффективности, заложенных в Указе Президента Российской </w:t>
      </w:r>
      <w:r w:rsidR="00F55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Федерации </w:t>
      </w:r>
      <w:r w:rsidRPr="00ED7F8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4 июня 2008 г. № 889 «О некоторых мерах по повышению энергетической и экологической эффективности российской экономики».</w:t>
      </w:r>
    </w:p>
    <w:p w:rsidR="005D733A" w:rsidRPr="005D733A" w:rsidRDefault="005D733A" w:rsidP="005D733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Профессиональному сообществу в области энергосбережения и повышения энергетической эффективности подготовить и направить в адрес Минэкономразвития России предложения в проект распоряжения </w:t>
      </w:r>
      <w:r w:rsidR="005C49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  <w:bookmarkStart w:id="0" w:name="_GoBack"/>
      <w:bookmarkEnd w:id="0"/>
      <w:r w:rsidR="005C4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ительства </w:t>
      </w:r>
      <w:r w:rsidRPr="005D733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Федерации, предусматривающий утверждение обновленной версии комплексного плана мероприятий по повышению энергетической эффективности экономики Российской Федерации.</w:t>
      </w:r>
    </w:p>
    <w:p w:rsidR="005D733A" w:rsidRPr="005D733A" w:rsidRDefault="005D733A" w:rsidP="005D733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3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Профессиональному сообществу в области энергосбережения и повышения энергетической эффективности поддержать инициативу ООО «Деловая Россия» по пересмотру механизма регулирования выбросов парниковых газов на территории Российской Федерации. Подготовить и направить в адрес ООО «Деловая Россия», Мин</w:t>
      </w:r>
      <w:r w:rsidR="004E6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экономразвития России и </w:t>
      </w:r>
      <w:r w:rsidRPr="005D7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Советника Президента Российской Федерации по вопросам изменения климата Р.С. </w:t>
      </w:r>
      <w:proofErr w:type="spellStart"/>
      <w:r w:rsidRPr="005D733A">
        <w:rPr>
          <w:rFonts w:ascii="Times New Roman" w:eastAsiaTheme="minorHAnsi" w:hAnsi="Times New Roman" w:cs="Times New Roman"/>
          <w:sz w:val="28"/>
          <w:szCs w:val="28"/>
          <w:lang w:eastAsia="en-US"/>
        </w:rPr>
        <w:t>Эдельгерива</w:t>
      </w:r>
      <w:proofErr w:type="spellEnd"/>
      <w:r w:rsidRPr="005D733A">
        <w:rPr>
          <w:rFonts w:ascii="Times New Roman" w:eastAsiaTheme="minorHAnsi" w:hAnsi="Times New Roman" w:cs="Times New Roman"/>
          <w:sz w:val="28"/>
          <w:szCs w:val="28"/>
          <w:lang w:eastAsia="en-US"/>
        </w:rPr>
        <w:t> соответствующие предложения по введению не позднее 2022 года на территории Российской Федерации механизма квотирования взимания платы за выбросы парниковых газов.</w:t>
      </w:r>
    </w:p>
    <w:p w:rsidR="001074FB" w:rsidRPr="005D733A" w:rsidRDefault="005D733A" w:rsidP="005D733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074FB" w:rsidRPr="005D733A">
        <w:rPr>
          <w:rFonts w:ascii="Times New Roman" w:hAnsi="Times New Roman" w:cs="Times New Roman"/>
          <w:sz w:val="28"/>
          <w:szCs w:val="28"/>
        </w:rPr>
        <w:t>екомендовать Минстрою России доработать проект постановления Правительства Российской Федерации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 с учетом основных целей повышения энергетической эффективности, заложенных в распоряжениях Правительства Российской Федерации от 19 апреля 2018 г. № 703-р «Об утверждении комплексного плана мероприятий по повышению энергетической эффективности экономики Российской Федерации» и  от 1 сентября 2016 г. № 1853-р «Об утверждении плана мероприятий («дорожной карты») по повышению энергетической эффективности зданий, строений и сооружений».</w:t>
      </w:r>
    </w:p>
    <w:p w:rsidR="001074FB" w:rsidRPr="00ED7F8A" w:rsidRDefault="001074FB" w:rsidP="001074F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 и Минстрою России синхронизировать работу по подготовке проекта распоряжения Правительства Российской Федерации об утверждении комплексного плана мероприятий по повышению энергетической эффективности экономики Российской Федерации и  проекта постановления Правительства Российской Федерации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домов».</w:t>
      </w:r>
    </w:p>
    <w:p w:rsidR="001074FB" w:rsidRPr="00ED7F8A" w:rsidRDefault="001074FB" w:rsidP="001074F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 xml:space="preserve">Просить заместителя Председателя Правительства РФ </w:t>
      </w:r>
      <w:proofErr w:type="spellStart"/>
      <w:r w:rsidRPr="00ED7F8A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Pr="00ED7F8A">
        <w:rPr>
          <w:rFonts w:ascii="Times New Roman" w:hAnsi="Times New Roman" w:cs="Times New Roman"/>
          <w:sz w:val="28"/>
          <w:szCs w:val="28"/>
        </w:rPr>
        <w:t xml:space="preserve"> М.Ш. инициировать создание рабочей группы по доработке проекта постановления </w:t>
      </w:r>
      <w:r w:rsidRPr="00ED7F8A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  в связи с высокими рисками снижения качества строительства, реконструкции и капитального ремонта жилья, сокращения его жизненного цикла, роста расходов граждан на ЖКУ, а также по причине противоречий проекта нормам федерального закона №261-ФЗ и другим нормативным правовым актам. Включить в рабочую группу представителей Общественного совета Минстроя России, профессионального сообщества в сфере энергоэффективности, Комитета Госдумы ФС РФ по энергетике.</w:t>
      </w:r>
    </w:p>
    <w:p w:rsidR="00193D73" w:rsidRPr="00ED7F8A" w:rsidRDefault="00193D73" w:rsidP="00193D73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F8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Федеральный закон </w:t>
      </w:r>
      <w:r w:rsidR="00B0678C">
        <w:rPr>
          <w:rFonts w:ascii="Times New Roman" w:eastAsia="Times New Roman" w:hAnsi="Times New Roman" w:cs="Times New Roman"/>
          <w:sz w:val="28"/>
          <w:szCs w:val="28"/>
        </w:rPr>
        <w:t xml:space="preserve">от 23.11.2009 </w:t>
      </w:r>
      <w:r w:rsidRPr="00ED7F8A">
        <w:rPr>
          <w:rFonts w:ascii="Times New Roman" w:eastAsia="Times New Roman" w:hAnsi="Times New Roman" w:cs="Times New Roman"/>
          <w:sz w:val="28"/>
          <w:szCs w:val="28"/>
        </w:rPr>
        <w:t xml:space="preserve">№ 261-ФЗ </w:t>
      </w:r>
      <w:r w:rsidR="00B0678C">
        <w:rPr>
          <w:rFonts w:ascii="Times New Roman" w:eastAsia="Times New Roman" w:hAnsi="Times New Roman" w:cs="Times New Roman"/>
          <w:sz w:val="28"/>
          <w:szCs w:val="28"/>
        </w:rPr>
        <w:t xml:space="preserve">«Об энергосбережении и о повышении </w:t>
      </w:r>
      <w:proofErr w:type="gramStart"/>
      <w:r w:rsidR="00B0678C">
        <w:rPr>
          <w:rFonts w:ascii="Times New Roman" w:eastAsia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="00B0678C">
        <w:rPr>
          <w:rFonts w:ascii="Times New Roman" w:eastAsia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</w:t>
      </w:r>
      <w:r w:rsidRPr="00ED7F8A">
        <w:rPr>
          <w:rFonts w:ascii="Times New Roman" w:eastAsia="Times New Roman" w:hAnsi="Times New Roman" w:cs="Times New Roman"/>
          <w:sz w:val="28"/>
          <w:szCs w:val="28"/>
        </w:rPr>
        <w:t>в части присвоения классов энергетической эффективности общественным зданиям, строениям, сооружениям и объектам малоэтажного строительства.</w:t>
      </w:r>
    </w:p>
    <w:p w:rsidR="00B70E25" w:rsidRPr="00ED7F8A" w:rsidRDefault="00B70E25" w:rsidP="00B70E2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>В целях комплексного стимулирования энергосбережения и повышения энергетической эффективности в энергоемких отраслях экономики внести изменения в Налоговый кодекс Российской Федерации в части передачи полномочий по установлению налогового стимулирования по налогу на имущество организаций с уровня субъектов Российской Федерации на федеральный уровень.</w:t>
      </w:r>
    </w:p>
    <w:p w:rsidR="007D3178" w:rsidRPr="00ED7F8A" w:rsidRDefault="007D7E42" w:rsidP="007D3178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F8A">
        <w:rPr>
          <w:rFonts w:ascii="Times New Roman" w:eastAsia="Times New Roman" w:hAnsi="Times New Roman" w:cs="Times New Roman"/>
          <w:sz w:val="28"/>
          <w:szCs w:val="28"/>
        </w:rPr>
        <w:t>В целях стимулирования строительства многоквартирных домов, имеющих высокий класс энергетической эффективности</w:t>
      </w:r>
      <w:r w:rsidR="00710DA6" w:rsidRPr="00ED7F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E4C" w:rsidRPr="00ED7F8A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Pr="00ED7F8A">
        <w:rPr>
          <w:rFonts w:ascii="Times New Roman" w:eastAsia="Times New Roman" w:hAnsi="Times New Roman" w:cs="Times New Roman"/>
          <w:sz w:val="28"/>
          <w:szCs w:val="28"/>
        </w:rPr>
        <w:t>приобретения квартир в этих домах установить для физических лиц дифференцированные ставки по налогу на имущество физических лиц, являющихся собственниками квартир, в зависимости от класса энергетической эффективности многоквартирного дома.</w:t>
      </w:r>
      <w:r w:rsidR="007D3178" w:rsidRPr="00ED7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BBB" w:rsidRPr="00ED7F8A" w:rsidRDefault="005F6BBB" w:rsidP="005F6BB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F8A">
        <w:rPr>
          <w:rFonts w:ascii="Times New Roman" w:eastAsia="Times New Roman" w:hAnsi="Times New Roman" w:cs="Times New Roman"/>
          <w:sz w:val="28"/>
          <w:szCs w:val="28"/>
        </w:rPr>
        <w:t>Расширить государственную поддержку в рамках государственной программы льготного кредитования на приобретение жилья от застройщика в многоквартирных домах высокого класса энергоэффективности.</w:t>
      </w:r>
    </w:p>
    <w:p w:rsidR="004D1E5F" w:rsidRPr="00ED7F8A" w:rsidRDefault="004E3472" w:rsidP="004D1E5F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F8A">
        <w:rPr>
          <w:rFonts w:ascii="Times New Roman" w:eastAsia="Times New Roman" w:hAnsi="Times New Roman" w:cs="Times New Roman"/>
          <w:sz w:val="28"/>
          <w:szCs w:val="28"/>
        </w:rPr>
        <w:t>Ввести</w:t>
      </w:r>
      <w:r w:rsidR="00093906" w:rsidRPr="00ED7F8A">
        <w:rPr>
          <w:rFonts w:ascii="Times New Roman" w:eastAsia="Times New Roman" w:hAnsi="Times New Roman" w:cs="Times New Roman"/>
          <w:sz w:val="28"/>
          <w:szCs w:val="28"/>
        </w:rPr>
        <w:t xml:space="preserve"> условия обязательного доведения до потребителя при продаже, предоставлении во владение или пользование на возмездной основе жилого помещения, а также общественных зданий, строений, сооружений информации о классе энергоэффективности.</w:t>
      </w:r>
    </w:p>
    <w:p w:rsidR="00C43483" w:rsidRPr="00ED7F8A" w:rsidRDefault="00C43483" w:rsidP="00C4348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 xml:space="preserve">Рекомендовать Минэкономразвития России и </w:t>
      </w:r>
      <w:proofErr w:type="spellStart"/>
      <w:r w:rsidRPr="00ED7F8A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ED7F8A">
        <w:rPr>
          <w:rFonts w:ascii="Times New Roman" w:hAnsi="Times New Roman" w:cs="Times New Roman"/>
          <w:sz w:val="28"/>
          <w:szCs w:val="28"/>
        </w:rPr>
        <w:t xml:space="preserve"> рассмотреть вопрос о внесении в ЕГРН сведений о классе энергетической эффективности жилых помещений.</w:t>
      </w:r>
    </w:p>
    <w:p w:rsidR="007B23C3" w:rsidRPr="00ED7F8A" w:rsidRDefault="007B23C3" w:rsidP="007B23C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 xml:space="preserve">Ввести требования о проведении обязательного энергетического обследования при определении класса энергоэффективности для многоквартирных домов при новом строительстве. </w:t>
      </w:r>
    </w:p>
    <w:p w:rsidR="00936DDF" w:rsidRPr="00ED7F8A" w:rsidRDefault="00936DDF" w:rsidP="00936DDF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F8A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требования к классам </w:t>
      </w:r>
      <w:proofErr w:type="spellStart"/>
      <w:r w:rsidRPr="00ED7F8A">
        <w:rPr>
          <w:rFonts w:ascii="Times New Roman" w:hAnsi="Times New Roman" w:cs="Times New Roman"/>
          <w:color w:val="000000"/>
          <w:sz w:val="28"/>
          <w:szCs w:val="28"/>
        </w:rPr>
        <w:t>энегоэффективности</w:t>
      </w:r>
      <w:proofErr w:type="spellEnd"/>
      <w:r w:rsidRPr="00ED7F8A">
        <w:rPr>
          <w:rFonts w:ascii="Times New Roman" w:hAnsi="Times New Roman" w:cs="Times New Roman"/>
          <w:color w:val="000000"/>
          <w:sz w:val="28"/>
          <w:szCs w:val="28"/>
        </w:rPr>
        <w:t xml:space="preserve"> зданий, строений, сооружений при осуществлении закупок для обеспечения государственных и муниципальных нужд</w:t>
      </w:r>
      <w:r w:rsidR="00AC72B0" w:rsidRPr="00ED7F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7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483" w:rsidRPr="00ED7F8A" w:rsidRDefault="00C43483" w:rsidP="00C4348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 xml:space="preserve">Ввести требования о повышении класса энергоэффективности многоквартирных домов не ниже «C» при </w:t>
      </w:r>
      <w:r w:rsidR="00ED7F8A">
        <w:rPr>
          <w:rFonts w:ascii="Times New Roman" w:hAnsi="Times New Roman" w:cs="Times New Roman"/>
          <w:sz w:val="28"/>
          <w:szCs w:val="28"/>
        </w:rPr>
        <w:t>п</w:t>
      </w:r>
      <w:r w:rsidR="00830BC1">
        <w:rPr>
          <w:rFonts w:ascii="Times New Roman" w:hAnsi="Times New Roman" w:cs="Times New Roman"/>
          <w:sz w:val="28"/>
          <w:szCs w:val="28"/>
        </w:rPr>
        <w:t>роведении капитального ремонта.</w:t>
      </w:r>
    </w:p>
    <w:p w:rsidR="00AF4BE0" w:rsidRPr="00ED7F8A" w:rsidRDefault="00AF4BE0" w:rsidP="00AF4BE0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D7F8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Создать постоянно действующую программу стимулирования собственников к проведению </w:t>
      </w:r>
      <w:proofErr w:type="spellStart"/>
      <w:r w:rsidRPr="00ED7F8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энергоэффективного</w:t>
      </w:r>
      <w:proofErr w:type="spellEnd"/>
      <w:r w:rsidRPr="00ED7F8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капитального ремонта многоквартирных домов.</w:t>
      </w:r>
    </w:p>
    <w:p w:rsidR="00AF4BE0" w:rsidRPr="00ED7F8A" w:rsidRDefault="00AF4BE0" w:rsidP="00AF4BE0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D7F8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Внести изменения в Правила предоставления финансовой поддержки за счет средств Государственной корпорации – Фонда содействия реформированию ЖКХ на проведение капитального ремонта МКД в части предоставления собственникам возможности напрямую, минуя местные и региональные органы власти, направлять заявки в Государственную корпорацию на возмещение затрат и прям</w:t>
      </w:r>
      <w:r w:rsidR="00B0678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ым путем получать компенсацию за</w:t>
      </w:r>
      <w:r w:rsidRPr="00ED7F8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проведенные мероприятия, а также расширения возможности получения компенсации для многоквартирных домов, реализующих мероприятия по энергосбережению в рамках энергосервисных контрактов.</w:t>
      </w:r>
    </w:p>
    <w:p w:rsidR="00830BC1" w:rsidRPr="00EC5E8B" w:rsidRDefault="00C43483" w:rsidP="008A72D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8B">
        <w:rPr>
          <w:rFonts w:ascii="Times New Roman" w:hAnsi="Times New Roman" w:cs="Times New Roman"/>
          <w:sz w:val="28"/>
          <w:szCs w:val="28"/>
        </w:rPr>
        <w:t xml:space="preserve"> </w:t>
      </w:r>
      <w:r w:rsidR="00830BC1" w:rsidRPr="00EC5E8B">
        <w:rPr>
          <w:rFonts w:ascii="Times New Roman" w:hAnsi="Times New Roman" w:cs="Times New Roman"/>
          <w:sz w:val="28"/>
          <w:szCs w:val="28"/>
        </w:rPr>
        <w:t xml:space="preserve">Проработать изменения в действующее жилищное законодательство с целью наделения регионального оператора капитального ремонта многоквартирных домов и владельца специального счета правом выступать от имени собственников стороной </w:t>
      </w:r>
      <w:proofErr w:type="spellStart"/>
      <w:r w:rsidR="00830BC1" w:rsidRPr="00EC5E8B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830BC1" w:rsidRPr="00EC5E8B">
        <w:rPr>
          <w:rFonts w:ascii="Times New Roman" w:hAnsi="Times New Roman" w:cs="Times New Roman"/>
          <w:sz w:val="28"/>
          <w:szCs w:val="28"/>
        </w:rPr>
        <w:t xml:space="preserve"> договора (контракта).</w:t>
      </w:r>
    </w:p>
    <w:p w:rsidR="00830BC1" w:rsidRPr="00ED7F8A" w:rsidRDefault="00830BC1" w:rsidP="00C4348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вопрос предоставления льгот (субсидий) за ЖКУ на размер дополнительного взноса на капитальный ремонт, направленного на финансирование энергосервисных мероприятий.</w:t>
      </w:r>
    </w:p>
    <w:p w:rsidR="004E3472" w:rsidRPr="00ED7F8A" w:rsidRDefault="004E3472" w:rsidP="004E3472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8A">
        <w:rPr>
          <w:rFonts w:ascii="Times New Roman" w:eastAsia="Times New Roman" w:hAnsi="Times New Roman" w:cs="Times New Roman"/>
          <w:sz w:val="28"/>
          <w:szCs w:val="28"/>
        </w:rPr>
        <w:t>Ввести обязанность установки индивидуальных приборов учета потребления энергетических ресурсов и воды, оснащенных системами дистанционного сбора показателей, в многоквартирных домах. Утвердить технические требования к интеллектуальным приборам учета и системам дистанционного сбора показателей.</w:t>
      </w:r>
    </w:p>
    <w:p w:rsidR="004E3472" w:rsidRPr="00ED7F8A" w:rsidRDefault="004E3472" w:rsidP="00D4454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8A"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проектирование и строительство многоквартирных домов без автоматизированных информационно-измерительных систем учета потребления энергетических ресурсов и воды в многоквартирных домах, включающих общедомовые и индивидуальные приборы учета потребления энергетических ресурсов.</w:t>
      </w:r>
    </w:p>
    <w:p w:rsidR="004E3472" w:rsidRPr="00ED7F8A" w:rsidRDefault="006D4411" w:rsidP="006D4411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8A">
        <w:rPr>
          <w:rFonts w:ascii="Times New Roman" w:eastAsia="Times New Roman" w:hAnsi="Times New Roman" w:cs="Times New Roman"/>
          <w:sz w:val="28"/>
          <w:szCs w:val="28"/>
        </w:rPr>
        <w:t>Совершенствовать порядок</w:t>
      </w:r>
      <w:r w:rsidR="004E3472" w:rsidRPr="00ED7F8A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размера платы за коммунальную услугу по отоплению с использованием приборов учета в многоквартирных и жилых домах, подключенных к централизованным системам отопления. </w:t>
      </w:r>
    </w:p>
    <w:p w:rsidR="00833B66" w:rsidRPr="00ED7F8A" w:rsidRDefault="00833B66" w:rsidP="00833B66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8A">
        <w:rPr>
          <w:rFonts w:ascii="Times New Roman" w:eastAsia="Times New Roman" w:hAnsi="Times New Roman" w:cs="Times New Roman"/>
          <w:sz w:val="28"/>
          <w:szCs w:val="28"/>
        </w:rPr>
        <w:t xml:space="preserve">Пересмотреть нормативы потребления энергетических ресурсов и воды исходя из статистических данных о фактическом потреблении ресурсов на основании приборов учета с целью оптимизации норм проектирования зданий, строений, сооружений и инфраструктуры. </w:t>
      </w:r>
    </w:p>
    <w:p w:rsidR="00193D73" w:rsidRDefault="00193D73" w:rsidP="00193D73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8A">
        <w:rPr>
          <w:rFonts w:ascii="Times New Roman" w:eastAsia="Times New Roman" w:hAnsi="Times New Roman" w:cs="Times New Roman"/>
          <w:sz w:val="28"/>
          <w:szCs w:val="28"/>
        </w:rPr>
        <w:t>Разработать предложения по внедрению в Российской Федерации системы целевых соглашений в области повышения энергетической и экологической эффективности, предусматривающей обязательства крупных потребителей энергетических ресурсов по реализации мероприятий по повышению энергетической и экологической эффективности на собственных объектах, и их исполнение с участием федерального и региональных центров компетенции</w:t>
      </w:r>
      <w:r w:rsidRPr="00ED7F8A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Pr="00ED7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DFA" w:rsidRPr="00ED04FF" w:rsidRDefault="000D5DFA" w:rsidP="000D5DF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При реализации пилотных проектов по внедрению энергосберегающих технологий при</w:t>
      </w:r>
      <w:r w:rsidR="004E6E96">
        <w:rPr>
          <w:rFonts w:ascii="Times New Roman" w:hAnsi="Times New Roman" w:cs="Times New Roman"/>
          <w:sz w:val="28"/>
          <w:szCs w:val="28"/>
        </w:rPr>
        <w:t xml:space="preserve"> реконструкции и строительстве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ED04FF">
        <w:rPr>
          <w:rFonts w:ascii="Times New Roman" w:hAnsi="Times New Roman" w:cs="Times New Roman"/>
          <w:sz w:val="28"/>
          <w:szCs w:val="28"/>
        </w:rPr>
        <w:lastRenderedPageBreak/>
        <w:t>домов особое внимание уделять внедрению отечественных прорывных технологий.</w:t>
      </w:r>
    </w:p>
    <w:p w:rsidR="00CE6993" w:rsidRPr="000D5DFA" w:rsidRDefault="00CE6993" w:rsidP="000D5DFA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D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Предусмотреть возможность введения системы налогов или штрафов для юридических лиц за неэффективное использование энергоресурсов в различных отраслях.</w:t>
      </w:r>
    </w:p>
    <w:p w:rsidR="00EB23D4" w:rsidRDefault="00EB23D4" w:rsidP="00CE6993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финансовым сообществом продолжить разработку системных мер, направленных на снижение рисков кредитования и рефинансирования проектов в области энергосбережения и повышения энергетической эффективности, включая кредитование и рефинансирования энергосервисных компаний и проектов в рамках реализации региональных программ капитального ремонта многоквартирных домов.</w:t>
      </w:r>
    </w:p>
    <w:p w:rsidR="005F476B" w:rsidRPr="00860016" w:rsidRDefault="005F476B" w:rsidP="00860016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16">
        <w:rPr>
          <w:rFonts w:ascii="Times New Roman" w:hAnsi="Times New Roman" w:cs="Times New Roman"/>
          <w:sz w:val="28"/>
          <w:szCs w:val="28"/>
        </w:rPr>
        <w:t xml:space="preserve">Продолжить разработку мер, направленных на включение в порядок заключения и исполнения энергосервисных договоров (контрактов) в бюджетной сфере дополнительных механизмов повышения их инвестиционной привлекательности, уже апробированных в рамках законодательства о концессионных соглашениях, включая особые обстоятельства, обеспечивающие возмещение затрат </w:t>
      </w:r>
      <w:proofErr w:type="spellStart"/>
      <w:r w:rsidRPr="00860016">
        <w:rPr>
          <w:rFonts w:ascii="Times New Roman" w:hAnsi="Times New Roman" w:cs="Times New Roman"/>
          <w:sz w:val="28"/>
          <w:szCs w:val="28"/>
        </w:rPr>
        <w:t>энергосервисной</w:t>
      </w:r>
      <w:proofErr w:type="spellEnd"/>
      <w:r w:rsidRPr="00860016">
        <w:rPr>
          <w:rFonts w:ascii="Times New Roman" w:hAnsi="Times New Roman" w:cs="Times New Roman"/>
          <w:sz w:val="28"/>
          <w:szCs w:val="28"/>
        </w:rPr>
        <w:t xml:space="preserve"> компании, включая упущенную предпринимательскую выгоду, в том числе в случае расторжения </w:t>
      </w:r>
      <w:proofErr w:type="spellStart"/>
      <w:r w:rsidRPr="00860016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860016">
        <w:rPr>
          <w:rFonts w:ascii="Times New Roman" w:hAnsi="Times New Roman" w:cs="Times New Roman"/>
          <w:sz w:val="28"/>
          <w:szCs w:val="28"/>
        </w:rPr>
        <w:t xml:space="preserve"> договора по инициативе публичной стороны.</w:t>
      </w:r>
    </w:p>
    <w:p w:rsidR="005F476B" w:rsidRPr="005F476B" w:rsidRDefault="005F476B" w:rsidP="005F476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Минэкономразвития России совместно с НОЭ и РАЭСКО обеспечить внесение изменений в законодательство, направленных на уточнение возможности превышения в ходе исполнения </w:t>
      </w:r>
      <w:proofErr w:type="spellStart"/>
      <w:r w:rsidRPr="005F476B">
        <w:rPr>
          <w:rFonts w:ascii="Times New Roman" w:hAnsi="Times New Roman" w:cs="Times New Roman"/>
          <w:color w:val="000000"/>
          <w:sz w:val="28"/>
          <w:szCs w:val="28"/>
        </w:rPr>
        <w:t>энергосервисного</w:t>
      </w:r>
      <w:proofErr w:type="spellEnd"/>
      <w:r w:rsidRPr="005F476B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цены (стоимости) контракта, определенной в ходе проведения закупок, расширяющие возможности применения расчетно-измерительного способа определения объема потребления энергетических ресурсов, возможности предоставления субсидий на увеличение совокупных расходов заказчика по статье оплаты коммунальных ресурсов при корректировке базового уровня потребления в связи с несоблюдением в базовый период нормативных требований к системам освещения и отопления, а также показателям их работы.</w:t>
      </w:r>
    </w:p>
    <w:p w:rsidR="005F476B" w:rsidRPr="005F476B" w:rsidRDefault="005F476B" w:rsidP="005F476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B">
        <w:rPr>
          <w:rFonts w:ascii="Arial" w:hAnsi="Arial" w:cs="Arial"/>
          <w:vanish/>
          <w:color w:val="000000"/>
          <w:sz w:val="20"/>
          <w:szCs w:val="20"/>
        </w:rPr>
        <w:t>Рекоменд</w:t>
      </w:r>
      <w:r w:rsidRPr="005F476B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Минэкономразвития России совместно с Минстроем России, НОЭ и РАЭСКО обеспечить внесение изменений в законодательство, направленных на создание условия для заключения и исполнения энергосервисных договоров в многоквартирных домах, включая уточнения порядка принятия решения общим собранием собственников помещений в многоквартирном доме, предоставления льгот на оплату энергосервисных договоров.</w:t>
      </w:r>
    </w:p>
    <w:p w:rsidR="005F476B" w:rsidRPr="005F476B" w:rsidRDefault="005F476B" w:rsidP="005F476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B">
        <w:rPr>
          <w:rFonts w:ascii="Arial" w:hAnsi="Arial" w:cs="Arial"/>
          <w:vanish/>
          <w:color w:val="000000"/>
          <w:sz w:val="20"/>
          <w:szCs w:val="20"/>
        </w:rPr>
        <w:t>РекоменРРава</w:t>
      </w:r>
      <w:r w:rsidRPr="005F476B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Минэнерго России совместно с Минэкономразвития России, НОЭ и РАЭСКО обеспечить внесение изменений в методику определения расчетно-измерительным способом объема потребления энергетического ресурса в натуральном выражении для реализации мероприятий, направленных на энергосбережение и повышение энергетической эффективности, снижающих требования по количеству световых приборов, мощность которых подлежит измерению при реализации </w:t>
      </w:r>
      <w:proofErr w:type="spellStart"/>
      <w:r w:rsidRPr="005F476B">
        <w:rPr>
          <w:rFonts w:ascii="Times New Roman" w:hAnsi="Times New Roman" w:cs="Times New Roman"/>
          <w:color w:val="000000"/>
          <w:sz w:val="28"/>
          <w:szCs w:val="28"/>
        </w:rPr>
        <w:t>энергосервисного</w:t>
      </w:r>
      <w:proofErr w:type="spellEnd"/>
      <w:r w:rsidRPr="005F4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7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договора (контракта), а также устанавливающих требование об однократном проведении соответствующих измерений.</w:t>
      </w:r>
    </w:p>
    <w:p w:rsidR="005F476B" w:rsidRPr="005F476B" w:rsidRDefault="005F476B" w:rsidP="005F476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Минстрою России совместно с ФАС России, НОЭ и РАЭСКО обеспечить внесение изменений в законодательство, обеспечивающих дополнительные гарантии оплаты энергосервисных услуг в системах </w:t>
      </w:r>
      <w:r w:rsidR="004E6E96">
        <w:rPr>
          <w:rFonts w:ascii="Times New Roman" w:hAnsi="Times New Roman" w:cs="Times New Roman"/>
          <w:color w:val="000000"/>
          <w:sz w:val="28"/>
          <w:szCs w:val="28"/>
        </w:rPr>
        <w:t xml:space="preserve">теплоснабжения, водоснабжения и </w:t>
      </w:r>
      <w:proofErr w:type="gramStart"/>
      <w:r w:rsidRPr="005F476B">
        <w:rPr>
          <w:rFonts w:ascii="Times New Roman" w:hAnsi="Times New Roman" w:cs="Times New Roman"/>
          <w:color w:val="000000"/>
          <w:sz w:val="28"/>
          <w:szCs w:val="28"/>
        </w:rPr>
        <w:t>водоотведения</w:t>
      </w:r>
      <w:proofErr w:type="gramEnd"/>
      <w:r w:rsidRPr="005F476B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сохранения за регулируемой организацией экономического эффекта при установлении регулируемых цен (тарифов) на товары и услуги в течение срока действия </w:t>
      </w:r>
      <w:proofErr w:type="spellStart"/>
      <w:r w:rsidRPr="005F476B">
        <w:rPr>
          <w:rFonts w:ascii="Times New Roman" w:hAnsi="Times New Roman" w:cs="Times New Roman"/>
          <w:color w:val="000000"/>
          <w:sz w:val="28"/>
          <w:szCs w:val="28"/>
        </w:rPr>
        <w:t>энергосервисного</w:t>
      </w:r>
      <w:proofErr w:type="spellEnd"/>
      <w:r w:rsidRPr="005F476B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 в том числе с использованием инструмента регуляторных соглашений.</w:t>
      </w:r>
    </w:p>
    <w:p w:rsidR="00C47D4F" w:rsidRPr="005F476B" w:rsidRDefault="00C47D4F" w:rsidP="005F476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Закрепить за уполномоченными органами исполнительной власти субъектов Российской Федерации в области государственного регулирования цен (тарифов) правовой возможности учета в составе регулируемых цен (тарифов) отчислений на энергосбережение, подлежащих перечислению в специализированные фонды, сформированные на базе региональных центров энергосбережения.</w:t>
      </w:r>
    </w:p>
    <w:p w:rsidR="00C47D4F" w:rsidRDefault="00C47D4F" w:rsidP="005F476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F47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Наделить региональные центры энергосбережения функциями по консолидации и распределению на основании результатов соответствующих конкурсных отборов внебюджетных средств, полученных с применением регулируемых цен (тарифов).</w:t>
      </w:r>
    </w:p>
    <w:p w:rsidR="001074FB" w:rsidRDefault="001074FB" w:rsidP="001074F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 разработать систему рейтинга региональных центров энергоэффективности с четко определенным перечнем критериев и методикой расчета. В данной системе предусмотреть также премирование тройки лидеров в виде государственных грантов на реализацию мероприятий по повышению энергетической эффективности в соответствующем регионе.</w:t>
      </w:r>
    </w:p>
    <w:p w:rsidR="001074FB" w:rsidRDefault="001074FB" w:rsidP="001074F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 рассмотреть возможность создания Национального (Федерального) центра энергосбережения в форме отдельного юридического лица с наделением соответствующими полномочиями.</w:t>
      </w:r>
    </w:p>
    <w:p w:rsidR="00EB5535" w:rsidRPr="00ED7F8A" w:rsidRDefault="00EB5535" w:rsidP="00EB553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 разработать систему рейтинга уровня энергоэффективности субъектов Российской Федерации на уровне глав субъектов Российской Федерации с четко определенным перечнем критериев и методикой расчета.</w:t>
      </w:r>
    </w:p>
    <w:p w:rsidR="001074FB" w:rsidRPr="00ED7F8A" w:rsidRDefault="001074FB" w:rsidP="001074F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 включить в состав работ по регуляторной гильотине рассмотрение возможности отмены недействующих/устаревших нормативных правовых актов в связи с передачей полномочий от Минэнерго России в Минэкономразвития России.</w:t>
      </w:r>
    </w:p>
    <w:p w:rsidR="001074FB" w:rsidRPr="00ED7F8A" w:rsidRDefault="001074FB" w:rsidP="001074F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 актуализировать постановление Правительства РФ от 15 мая 2010 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 с учетом обязательности подписания Соглашений о стимулировании энергосбережения и повышения энергетической эффективности.</w:t>
      </w:r>
    </w:p>
    <w:p w:rsidR="001074FB" w:rsidRPr="00ED7F8A" w:rsidRDefault="001074FB" w:rsidP="001074F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lastRenderedPageBreak/>
        <w:t>Рекомендовать Минэкономразвития России все методические материалы утверждать локальным нормативным правовым актом (приказом) или распоряжением Правительства РФ.</w:t>
      </w:r>
    </w:p>
    <w:p w:rsidR="00C51199" w:rsidRPr="005F476B" w:rsidRDefault="00C51199" w:rsidP="005F476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B">
        <w:rPr>
          <w:rFonts w:ascii="Times New Roman" w:hAnsi="Times New Roman" w:cs="Times New Roman"/>
          <w:sz w:val="28"/>
          <w:szCs w:val="28"/>
        </w:rPr>
        <w:t xml:space="preserve">Разработать меры стимулирования использования организациями топливно-энергетического комплекса наилучших доступных технологий, включая разработку и применение соответствующих справочников и реестров наилучших доступных технологий, в целях технического и экологического регулирования, а также приобретения </w:t>
      </w:r>
      <w:proofErr w:type="spellStart"/>
      <w:r w:rsidRPr="005F476B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5F476B">
        <w:rPr>
          <w:rFonts w:ascii="Times New Roman" w:hAnsi="Times New Roman" w:cs="Times New Roman"/>
          <w:sz w:val="28"/>
          <w:szCs w:val="28"/>
        </w:rPr>
        <w:t xml:space="preserve"> оборудования. </w:t>
      </w:r>
    </w:p>
    <w:p w:rsidR="009B4CBB" w:rsidRPr="005F476B" w:rsidRDefault="009B4CBB" w:rsidP="005F476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6B">
        <w:rPr>
          <w:rFonts w:ascii="Times New Roman" w:eastAsia="Times New Roman" w:hAnsi="Times New Roman" w:cs="Times New Roman"/>
          <w:sz w:val="28"/>
          <w:szCs w:val="28"/>
        </w:rPr>
        <w:t>Актуализировать справочники НДТ в части дополнения их показателями энергоэффективности.</w:t>
      </w:r>
    </w:p>
    <w:p w:rsidR="00B70E25" w:rsidRPr="005F476B" w:rsidRDefault="00B70E25" w:rsidP="005F476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B">
        <w:rPr>
          <w:rFonts w:ascii="Times New Roman" w:hAnsi="Times New Roman" w:cs="Times New Roman"/>
          <w:sz w:val="28"/>
          <w:szCs w:val="28"/>
        </w:rPr>
        <w:t>Организовать на базе федерального и региональных центров компетенций в области энергосбережения и повышения энергетической эффективности обучение основам энергосбережения и повышения энергетической эффективности ответственных сотрудников бюджетной сферы по программам обучения, разработанным на основе профессиональных стандартов в области энергосбережения и повышения энергетической эффективности.</w:t>
      </w:r>
    </w:p>
    <w:p w:rsidR="00975252" w:rsidRPr="00ED7F8A" w:rsidRDefault="00975252" w:rsidP="005F476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8A">
        <w:rPr>
          <w:rFonts w:ascii="Times New Roman" w:hAnsi="Times New Roman" w:cs="Times New Roman"/>
          <w:sz w:val="28"/>
          <w:szCs w:val="28"/>
        </w:rPr>
        <w:t>Ввести обязательное повышение квалификации в области энергосбережения и повышения энергетиче</w:t>
      </w:r>
      <w:r w:rsidR="00464E43" w:rsidRPr="00ED7F8A">
        <w:rPr>
          <w:rFonts w:ascii="Times New Roman" w:hAnsi="Times New Roman" w:cs="Times New Roman"/>
          <w:sz w:val="28"/>
          <w:szCs w:val="28"/>
        </w:rPr>
        <w:t>с</w:t>
      </w:r>
      <w:r w:rsidRPr="00ED7F8A">
        <w:rPr>
          <w:rFonts w:ascii="Times New Roman" w:hAnsi="Times New Roman" w:cs="Times New Roman"/>
          <w:sz w:val="28"/>
          <w:szCs w:val="28"/>
        </w:rPr>
        <w:t>кой эффективности</w:t>
      </w:r>
      <w:r w:rsidR="00464E43" w:rsidRPr="00ED7F8A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134A3D" w:rsidRPr="00ED7F8A">
        <w:rPr>
          <w:rFonts w:ascii="Times New Roman" w:hAnsi="Times New Roman" w:cs="Times New Roman"/>
          <w:sz w:val="28"/>
          <w:szCs w:val="28"/>
        </w:rPr>
        <w:t>государственных</w:t>
      </w:r>
      <w:r w:rsidR="00767119" w:rsidRPr="00ED7F8A">
        <w:rPr>
          <w:rFonts w:ascii="Times New Roman" w:hAnsi="Times New Roman" w:cs="Times New Roman"/>
          <w:sz w:val="28"/>
          <w:szCs w:val="28"/>
        </w:rPr>
        <w:t xml:space="preserve"> </w:t>
      </w:r>
      <w:r w:rsidR="00134A3D" w:rsidRPr="00ED7F8A">
        <w:rPr>
          <w:rFonts w:ascii="Times New Roman" w:hAnsi="Times New Roman" w:cs="Times New Roman"/>
          <w:sz w:val="28"/>
          <w:szCs w:val="28"/>
        </w:rPr>
        <w:t>(</w:t>
      </w:r>
      <w:r w:rsidR="00464E43" w:rsidRPr="00ED7F8A">
        <w:rPr>
          <w:rFonts w:ascii="Times New Roman" w:hAnsi="Times New Roman" w:cs="Times New Roman"/>
          <w:sz w:val="28"/>
          <w:szCs w:val="28"/>
        </w:rPr>
        <w:t>муниципальных</w:t>
      </w:r>
      <w:r w:rsidR="00134A3D" w:rsidRPr="00ED7F8A">
        <w:rPr>
          <w:rFonts w:ascii="Times New Roman" w:hAnsi="Times New Roman" w:cs="Times New Roman"/>
          <w:sz w:val="28"/>
          <w:szCs w:val="28"/>
        </w:rPr>
        <w:t>)</w:t>
      </w:r>
      <w:r w:rsidR="00464E43" w:rsidRPr="00ED7F8A">
        <w:rPr>
          <w:rFonts w:ascii="Times New Roman" w:hAnsi="Times New Roman" w:cs="Times New Roman"/>
          <w:sz w:val="28"/>
          <w:szCs w:val="28"/>
        </w:rPr>
        <w:t xml:space="preserve"> </w:t>
      </w:r>
      <w:r w:rsidR="00134A3D" w:rsidRPr="00ED7F8A">
        <w:rPr>
          <w:rFonts w:ascii="Times New Roman" w:hAnsi="Times New Roman" w:cs="Times New Roman"/>
          <w:sz w:val="28"/>
          <w:szCs w:val="28"/>
        </w:rPr>
        <w:t>учреждений</w:t>
      </w:r>
      <w:r w:rsidR="00464E43" w:rsidRPr="00ED7F8A">
        <w:rPr>
          <w:rFonts w:ascii="Times New Roman" w:hAnsi="Times New Roman" w:cs="Times New Roman"/>
          <w:sz w:val="28"/>
          <w:szCs w:val="28"/>
        </w:rPr>
        <w:t>.</w:t>
      </w:r>
    </w:p>
    <w:p w:rsidR="009679FF" w:rsidRDefault="00F24F7E" w:rsidP="005F476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Высшему образовательному консорциуму</w:t>
      </w:r>
      <w:r w:rsidR="009679FF" w:rsidRPr="00ED7F8A">
        <w:rPr>
          <w:rFonts w:ascii="Times New Roman" w:hAnsi="Times New Roman" w:cs="Times New Roman"/>
          <w:sz w:val="28"/>
          <w:szCs w:val="28"/>
        </w:rPr>
        <w:t xml:space="preserve"> НОЭ совместно с АНО ДПО «ИПК ТЕХНОПРОГРЕСС» </w:t>
      </w:r>
      <w:r w:rsidR="00DC6091" w:rsidRPr="00ED7F8A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9679FF" w:rsidRPr="00ED7F8A">
        <w:rPr>
          <w:rFonts w:ascii="Times New Roman" w:hAnsi="Times New Roman" w:cs="Times New Roman"/>
          <w:sz w:val="28"/>
          <w:szCs w:val="28"/>
        </w:rPr>
        <w:t xml:space="preserve">проведение бесплатных </w:t>
      </w:r>
      <w:proofErr w:type="spellStart"/>
      <w:r w:rsidR="009679FF" w:rsidRPr="00ED7F8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9679FF" w:rsidRPr="00ED7F8A">
        <w:rPr>
          <w:rFonts w:ascii="Times New Roman" w:hAnsi="Times New Roman" w:cs="Times New Roman"/>
          <w:sz w:val="28"/>
          <w:szCs w:val="28"/>
        </w:rPr>
        <w:t xml:space="preserve"> для </w:t>
      </w:r>
      <w:r w:rsidR="003D43DF" w:rsidRPr="00ED7F8A">
        <w:rPr>
          <w:rFonts w:ascii="Times New Roman" w:hAnsi="Times New Roman" w:cs="Times New Roman"/>
          <w:sz w:val="28"/>
          <w:szCs w:val="28"/>
        </w:rPr>
        <w:t>руководителей и специалистов, отвечающих за энергосбережение</w:t>
      </w:r>
      <w:r w:rsidR="009679FF" w:rsidRPr="00ED7F8A">
        <w:rPr>
          <w:rFonts w:ascii="Times New Roman" w:hAnsi="Times New Roman" w:cs="Times New Roman"/>
          <w:sz w:val="28"/>
          <w:szCs w:val="28"/>
        </w:rPr>
        <w:t xml:space="preserve"> и</w:t>
      </w:r>
      <w:r w:rsidR="003D43DF" w:rsidRPr="00ED7F8A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9679FF" w:rsidRPr="00ED7F8A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</w:t>
      </w:r>
      <w:r w:rsidR="003D43DF" w:rsidRPr="00ED7F8A">
        <w:rPr>
          <w:rFonts w:ascii="Times New Roman" w:hAnsi="Times New Roman" w:cs="Times New Roman"/>
          <w:sz w:val="28"/>
          <w:szCs w:val="28"/>
        </w:rPr>
        <w:t>в бюджетных организациях</w:t>
      </w:r>
      <w:r w:rsidR="009679FF" w:rsidRPr="00ED7F8A">
        <w:rPr>
          <w:rFonts w:ascii="Times New Roman" w:hAnsi="Times New Roman" w:cs="Times New Roman"/>
          <w:sz w:val="28"/>
          <w:szCs w:val="28"/>
        </w:rPr>
        <w:t>.</w:t>
      </w:r>
    </w:p>
    <w:p w:rsidR="00FD19F8" w:rsidRPr="00ED04FF" w:rsidRDefault="00FD19F8" w:rsidP="00FD19F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НОЭ провести анализ существующих профессиональных стандартов на предмет наличия квалификаций, связанных с компетенциями в области энергосбережения и повышения энергетической эффективности. НОЭ совместно с советами по профессиональным квалификациям провести актуализацию выявленных профессиональных стандартов.</w:t>
      </w:r>
    </w:p>
    <w:p w:rsidR="00BE0EBA" w:rsidRPr="0043301D" w:rsidRDefault="004E6E96" w:rsidP="00BE0EB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НОЭ принять участие </w:t>
      </w:r>
      <w:r w:rsidR="009962E5">
        <w:rPr>
          <w:rFonts w:ascii="Times New Roman" w:hAnsi="Times New Roman" w:cs="Times New Roman"/>
          <w:sz w:val="28"/>
          <w:szCs w:val="28"/>
        </w:rPr>
        <w:t xml:space="preserve">в </w:t>
      </w:r>
      <w:r w:rsidR="00BE0EBA" w:rsidRPr="0043301D">
        <w:rPr>
          <w:rFonts w:ascii="Times New Roman" w:hAnsi="Times New Roman" w:cs="Times New Roman"/>
          <w:sz w:val="28"/>
          <w:szCs w:val="28"/>
        </w:rPr>
        <w:t>мониторинге рынка труда, проводимого Национальным агентством развития квалификаций совместно с советами по профессиональным квалификациям</w:t>
      </w:r>
      <w:r w:rsidR="00F24F7E">
        <w:rPr>
          <w:rFonts w:ascii="Times New Roman" w:hAnsi="Times New Roman" w:cs="Times New Roman"/>
          <w:sz w:val="28"/>
          <w:szCs w:val="28"/>
        </w:rPr>
        <w:t>,</w:t>
      </w:r>
      <w:r w:rsidR="00BE0EBA" w:rsidRPr="0043301D">
        <w:rPr>
          <w:rFonts w:ascii="Times New Roman" w:hAnsi="Times New Roman" w:cs="Times New Roman"/>
          <w:sz w:val="28"/>
          <w:szCs w:val="28"/>
        </w:rPr>
        <w:t xml:space="preserve"> для выявления современных требований к кадрам, прогнозирования потребности в кадрах в области энергосбережения и энергоэффективности. </w:t>
      </w:r>
    </w:p>
    <w:p w:rsidR="00BE0EBA" w:rsidRPr="0043301D" w:rsidRDefault="00BE0EBA" w:rsidP="00BE0EB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01D">
        <w:rPr>
          <w:rFonts w:ascii="Times New Roman" w:hAnsi="Times New Roman" w:cs="Times New Roman"/>
          <w:sz w:val="28"/>
          <w:szCs w:val="28"/>
        </w:rPr>
        <w:t>Поддержать централизованное проведение теоретической части профессиональных экзаменов в дистанционном режиме по квалификациям в области энергосбережения и энергоэффективности; предложить советам по профессиональным квалификациям обратить внимание на необходимость существе</w:t>
      </w:r>
      <w:r w:rsidR="004E6E96">
        <w:rPr>
          <w:rFonts w:ascii="Times New Roman" w:hAnsi="Times New Roman" w:cs="Times New Roman"/>
          <w:sz w:val="28"/>
          <w:szCs w:val="28"/>
        </w:rPr>
        <w:t xml:space="preserve">нного снижения стоимости </w:t>
      </w:r>
      <w:proofErr w:type="gramStart"/>
      <w:r w:rsidR="004E6E96">
        <w:rPr>
          <w:rFonts w:ascii="Times New Roman" w:hAnsi="Times New Roman" w:cs="Times New Roman"/>
          <w:sz w:val="28"/>
          <w:szCs w:val="28"/>
        </w:rPr>
        <w:t>услуги по независимой оценке</w:t>
      </w:r>
      <w:proofErr w:type="gramEnd"/>
      <w:r w:rsidR="004E6E96">
        <w:rPr>
          <w:rFonts w:ascii="Times New Roman" w:hAnsi="Times New Roman" w:cs="Times New Roman"/>
          <w:sz w:val="28"/>
          <w:szCs w:val="28"/>
        </w:rPr>
        <w:t xml:space="preserve"> </w:t>
      </w:r>
      <w:r w:rsidRPr="0043301D">
        <w:rPr>
          <w:rFonts w:ascii="Times New Roman" w:hAnsi="Times New Roman" w:cs="Times New Roman"/>
          <w:sz w:val="28"/>
          <w:szCs w:val="28"/>
        </w:rPr>
        <w:t>квалификации и повышения ее территориальной доступности.</w:t>
      </w:r>
    </w:p>
    <w:p w:rsidR="00BE0EBA" w:rsidRPr="0043301D" w:rsidRDefault="00BE0EBA" w:rsidP="00BE0EB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01D">
        <w:rPr>
          <w:rFonts w:ascii="Times New Roman" w:hAnsi="Times New Roman" w:cs="Times New Roman"/>
          <w:sz w:val="28"/>
          <w:szCs w:val="28"/>
        </w:rPr>
        <w:t xml:space="preserve">Предложить Национальному агентству развития квалификаций рассмотреть вопрос об участии вузов и </w:t>
      </w:r>
      <w:proofErr w:type="spellStart"/>
      <w:r w:rsidRPr="0043301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43301D">
        <w:rPr>
          <w:rFonts w:ascii="Times New Roman" w:hAnsi="Times New Roman" w:cs="Times New Roman"/>
          <w:sz w:val="28"/>
          <w:szCs w:val="28"/>
        </w:rPr>
        <w:t>, принимающих участие в подготовке кадров в области энергосбережения и энергоэффективности, в проекте по проведению оценки студентов и выпускников по стандартам независимой оценки квалификации.</w:t>
      </w:r>
    </w:p>
    <w:p w:rsidR="00BE0EBA" w:rsidRDefault="00BE0EBA" w:rsidP="00BE0EB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01D">
        <w:rPr>
          <w:rFonts w:ascii="Times New Roman" w:hAnsi="Times New Roman" w:cs="Times New Roman"/>
          <w:sz w:val="28"/>
          <w:szCs w:val="28"/>
        </w:rPr>
        <w:lastRenderedPageBreak/>
        <w:t>Предложить организациям, претендующим на получение статуса центров оценки квалификации и иным заинтересованным организациям, принять участие в обсуждении рекомендаций по организации деятельности центров оценки квалификации, относящимся к различным областям профессиональной деятельности, подготовленным Национальным агентством развития квалификации.</w:t>
      </w:r>
    </w:p>
    <w:p w:rsidR="00F24F7E" w:rsidRDefault="00F24F7E" w:rsidP="00F24F7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7E">
        <w:rPr>
          <w:rFonts w:ascii="Times New Roman" w:hAnsi="Times New Roman" w:cs="Times New Roman"/>
          <w:sz w:val="28"/>
          <w:szCs w:val="28"/>
        </w:rPr>
        <w:t>Одобрить проект актуализированного профессионального стандарта «Специалист по подготовке проекта обеспечения соблюдения требований энергетической эффективности зданий, строений и сооружений».</w:t>
      </w:r>
    </w:p>
    <w:p w:rsidR="00F24F7E" w:rsidRDefault="00F24F7E" w:rsidP="00F24F7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7E">
        <w:rPr>
          <w:rFonts w:ascii="Times New Roman" w:hAnsi="Times New Roman" w:cs="Times New Roman"/>
          <w:sz w:val="28"/>
          <w:szCs w:val="28"/>
        </w:rPr>
        <w:t>Рекомендовать Высшему образовательному консорциуму НОЭ организовать разработку программ</w:t>
      </w:r>
      <w:r w:rsidR="00890FAB">
        <w:rPr>
          <w:rFonts w:ascii="Times New Roman" w:hAnsi="Times New Roman" w:cs="Times New Roman"/>
          <w:sz w:val="28"/>
          <w:szCs w:val="28"/>
        </w:rPr>
        <w:t>ы</w:t>
      </w:r>
      <w:r w:rsidRPr="00F24F7E">
        <w:rPr>
          <w:rFonts w:ascii="Times New Roman" w:hAnsi="Times New Roman" w:cs="Times New Roman"/>
          <w:sz w:val="28"/>
          <w:szCs w:val="28"/>
        </w:rPr>
        <w:t xml:space="preserve"> подготовки к проведению независимой оценки квалификации по профессиональному стандарту «Специалист по подготовке проекта обеспечения соблюдения требований энергетической эффективности зданий, строений и сооружений».</w:t>
      </w:r>
    </w:p>
    <w:p w:rsidR="00F24F7E" w:rsidRPr="00F24F7E" w:rsidRDefault="00BC0961" w:rsidP="00F24F7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 необходимость обязательного </w:t>
      </w:r>
      <w:r w:rsidR="00F24F7E" w:rsidRPr="00F24F7E">
        <w:rPr>
          <w:rFonts w:ascii="Times New Roman" w:hAnsi="Times New Roman" w:cs="Times New Roman"/>
          <w:sz w:val="28"/>
          <w:szCs w:val="28"/>
        </w:rPr>
        <w:t>прохождения специалистами, информаци</w:t>
      </w:r>
      <w:r w:rsidR="00F24F7E">
        <w:rPr>
          <w:rFonts w:ascii="Times New Roman" w:hAnsi="Times New Roman" w:cs="Times New Roman"/>
          <w:sz w:val="28"/>
          <w:szCs w:val="28"/>
        </w:rPr>
        <w:t>я о которых подлежит внесению в «</w:t>
      </w:r>
      <w:hyperlink r:id="rId5" w:tgtFrame="_blank" w:history="1">
        <w:r w:rsidR="00F24F7E" w:rsidRPr="00F24F7E">
          <w:rPr>
            <w:rFonts w:ascii="Times New Roman" w:hAnsi="Times New Roman" w:cs="Times New Roman"/>
            <w:sz w:val="28"/>
            <w:szCs w:val="28"/>
          </w:rPr>
          <w:t>Национальный реестр специалистов в области инженерных изысканий и архитектурно-строительного проектирования»</w:t>
        </w:r>
      </w:hyperlink>
      <w:r w:rsidR="00F24F7E">
        <w:rPr>
          <w:rFonts w:ascii="Times New Roman" w:hAnsi="Times New Roman" w:cs="Times New Roman"/>
          <w:sz w:val="28"/>
          <w:szCs w:val="28"/>
        </w:rPr>
        <w:t>,</w:t>
      </w:r>
      <w:r w:rsidR="00F24F7E" w:rsidRPr="00F24F7E">
        <w:rPr>
          <w:rFonts w:ascii="Times New Roman" w:hAnsi="Times New Roman" w:cs="Times New Roman"/>
          <w:sz w:val="28"/>
          <w:szCs w:val="28"/>
        </w:rPr>
        <w:t xml:space="preserve"> процедуры </w:t>
      </w:r>
      <w:r w:rsidR="00F24F7E">
        <w:rPr>
          <w:rFonts w:ascii="Times New Roman" w:hAnsi="Times New Roman" w:cs="Times New Roman"/>
          <w:sz w:val="28"/>
          <w:szCs w:val="28"/>
        </w:rPr>
        <w:t>независимой оценки квалификации,</w:t>
      </w:r>
      <w:r w:rsidR="00F24F7E" w:rsidRPr="00F24F7E">
        <w:rPr>
          <w:rFonts w:ascii="Times New Roman" w:hAnsi="Times New Roman" w:cs="Times New Roman"/>
          <w:sz w:val="28"/>
          <w:szCs w:val="28"/>
        </w:rPr>
        <w:t xml:space="preserve"> предусмотренной находящимся на рассмотрении в Госдуме законопроектом № 934502-7 «О внесении изменений в статью 55.5-1 Градостроительного кодекса РФ».</w:t>
      </w:r>
    </w:p>
    <w:p w:rsidR="00BB021B" w:rsidRPr="00BE0EBA" w:rsidRDefault="00EE0D7D" w:rsidP="00BE0EBA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BA">
        <w:rPr>
          <w:rFonts w:ascii="Times New Roman" w:hAnsi="Times New Roman" w:cs="Times New Roman"/>
          <w:sz w:val="28"/>
          <w:szCs w:val="28"/>
        </w:rPr>
        <w:t>Продолжить деловую игру «Наш город» в рамках мероприятий, организуемых при участии НОЭ.</w:t>
      </w:r>
    </w:p>
    <w:p w:rsidR="00B70E25" w:rsidRPr="00ED7F8A" w:rsidRDefault="00B70E25" w:rsidP="00B70E25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0E25" w:rsidRPr="00ED7F8A" w:rsidRDefault="00B70E25">
      <w:pPr>
        <w:rPr>
          <w:rFonts w:ascii="Times New Roman" w:hAnsi="Times New Roman" w:cs="Times New Roman"/>
        </w:rPr>
      </w:pPr>
    </w:p>
    <w:sectPr w:rsidR="00B70E25" w:rsidRPr="00ED7F8A" w:rsidSect="00EF53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13D"/>
    <w:multiLevelType w:val="multilevel"/>
    <w:tmpl w:val="E194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40B36"/>
    <w:multiLevelType w:val="hybridMultilevel"/>
    <w:tmpl w:val="9C6A0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F2097"/>
    <w:multiLevelType w:val="multilevel"/>
    <w:tmpl w:val="DDB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064BB"/>
    <w:multiLevelType w:val="multilevel"/>
    <w:tmpl w:val="69C0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C1919"/>
    <w:multiLevelType w:val="hybridMultilevel"/>
    <w:tmpl w:val="D04C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3AF6"/>
    <w:multiLevelType w:val="hybridMultilevel"/>
    <w:tmpl w:val="CFC4116E"/>
    <w:lvl w:ilvl="0" w:tplc="0EECE1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940C1"/>
    <w:multiLevelType w:val="hybridMultilevel"/>
    <w:tmpl w:val="C8D2A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7008B"/>
    <w:multiLevelType w:val="hybridMultilevel"/>
    <w:tmpl w:val="0C7C6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92F57"/>
    <w:multiLevelType w:val="hybridMultilevel"/>
    <w:tmpl w:val="D36EA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A8026F"/>
    <w:multiLevelType w:val="hybridMultilevel"/>
    <w:tmpl w:val="72BC07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3C659C"/>
    <w:multiLevelType w:val="hybridMultilevel"/>
    <w:tmpl w:val="72BC07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25"/>
    <w:rsid w:val="00066672"/>
    <w:rsid w:val="00073D9C"/>
    <w:rsid w:val="00091EBE"/>
    <w:rsid w:val="00093906"/>
    <w:rsid w:val="000D492A"/>
    <w:rsid w:val="000D5DFA"/>
    <w:rsid w:val="000F5213"/>
    <w:rsid w:val="000F6BC1"/>
    <w:rsid w:val="001074FB"/>
    <w:rsid w:val="00134A3D"/>
    <w:rsid w:val="0013645B"/>
    <w:rsid w:val="001758F5"/>
    <w:rsid w:val="001803AF"/>
    <w:rsid w:val="00187346"/>
    <w:rsid w:val="00193D73"/>
    <w:rsid w:val="00196B6A"/>
    <w:rsid w:val="001A3EB5"/>
    <w:rsid w:val="001E20D7"/>
    <w:rsid w:val="00216DC0"/>
    <w:rsid w:val="00262DE6"/>
    <w:rsid w:val="00286AA9"/>
    <w:rsid w:val="00292876"/>
    <w:rsid w:val="002A2E4C"/>
    <w:rsid w:val="002B19A5"/>
    <w:rsid w:val="002F2B15"/>
    <w:rsid w:val="0034422F"/>
    <w:rsid w:val="00383099"/>
    <w:rsid w:val="00394158"/>
    <w:rsid w:val="003D43DF"/>
    <w:rsid w:val="003D77FD"/>
    <w:rsid w:val="003E03EC"/>
    <w:rsid w:val="00464E43"/>
    <w:rsid w:val="00465EA7"/>
    <w:rsid w:val="004D1E5F"/>
    <w:rsid w:val="004E3472"/>
    <w:rsid w:val="004E6E96"/>
    <w:rsid w:val="005C499E"/>
    <w:rsid w:val="005D733A"/>
    <w:rsid w:val="005F476B"/>
    <w:rsid w:val="005F6BBB"/>
    <w:rsid w:val="0061419B"/>
    <w:rsid w:val="00671F64"/>
    <w:rsid w:val="006A506D"/>
    <w:rsid w:val="006B27DC"/>
    <w:rsid w:val="006C3605"/>
    <w:rsid w:val="006D2F98"/>
    <w:rsid w:val="006D4411"/>
    <w:rsid w:val="006E7AD2"/>
    <w:rsid w:val="00710DA6"/>
    <w:rsid w:val="00765C1B"/>
    <w:rsid w:val="00767119"/>
    <w:rsid w:val="007720A7"/>
    <w:rsid w:val="007B23C3"/>
    <w:rsid w:val="007C4A53"/>
    <w:rsid w:val="007C517B"/>
    <w:rsid w:val="007D3178"/>
    <w:rsid w:val="007D49DC"/>
    <w:rsid w:val="007D7E42"/>
    <w:rsid w:val="007F5C89"/>
    <w:rsid w:val="00830BC1"/>
    <w:rsid w:val="00833B66"/>
    <w:rsid w:val="00860016"/>
    <w:rsid w:val="00890FAB"/>
    <w:rsid w:val="008D50FC"/>
    <w:rsid w:val="009333D1"/>
    <w:rsid w:val="00936DDF"/>
    <w:rsid w:val="00953298"/>
    <w:rsid w:val="009679FF"/>
    <w:rsid w:val="00975252"/>
    <w:rsid w:val="00981C66"/>
    <w:rsid w:val="00990F14"/>
    <w:rsid w:val="009962E5"/>
    <w:rsid w:val="009B4CBB"/>
    <w:rsid w:val="009C3132"/>
    <w:rsid w:val="009D23E4"/>
    <w:rsid w:val="009D3CAA"/>
    <w:rsid w:val="009E0C34"/>
    <w:rsid w:val="00A2696D"/>
    <w:rsid w:val="00A524C8"/>
    <w:rsid w:val="00AA4E71"/>
    <w:rsid w:val="00AC72B0"/>
    <w:rsid w:val="00AF4BE0"/>
    <w:rsid w:val="00B0678C"/>
    <w:rsid w:val="00B32F3F"/>
    <w:rsid w:val="00B66CDB"/>
    <w:rsid w:val="00B70E25"/>
    <w:rsid w:val="00B86278"/>
    <w:rsid w:val="00B96DD3"/>
    <w:rsid w:val="00BB021B"/>
    <w:rsid w:val="00BC0961"/>
    <w:rsid w:val="00BD46E8"/>
    <w:rsid w:val="00BE0EBA"/>
    <w:rsid w:val="00BE1A1A"/>
    <w:rsid w:val="00C43483"/>
    <w:rsid w:val="00C47D4F"/>
    <w:rsid w:val="00C51199"/>
    <w:rsid w:val="00C87E71"/>
    <w:rsid w:val="00CE3E8F"/>
    <w:rsid w:val="00CE6993"/>
    <w:rsid w:val="00D05F8B"/>
    <w:rsid w:val="00D17969"/>
    <w:rsid w:val="00D213E0"/>
    <w:rsid w:val="00D44545"/>
    <w:rsid w:val="00D45D75"/>
    <w:rsid w:val="00D5482B"/>
    <w:rsid w:val="00D7770E"/>
    <w:rsid w:val="00DB3AD0"/>
    <w:rsid w:val="00DC6091"/>
    <w:rsid w:val="00E11926"/>
    <w:rsid w:val="00E12F76"/>
    <w:rsid w:val="00E55516"/>
    <w:rsid w:val="00EB23D4"/>
    <w:rsid w:val="00EB5535"/>
    <w:rsid w:val="00EC5E8B"/>
    <w:rsid w:val="00ED7F8A"/>
    <w:rsid w:val="00EE0D7D"/>
    <w:rsid w:val="00EF444E"/>
    <w:rsid w:val="00EF538C"/>
    <w:rsid w:val="00F003DC"/>
    <w:rsid w:val="00F05297"/>
    <w:rsid w:val="00F24F7E"/>
    <w:rsid w:val="00F55107"/>
    <w:rsid w:val="00F628E1"/>
    <w:rsid w:val="00F963B5"/>
    <w:rsid w:val="00FA086C"/>
    <w:rsid w:val="00FD19F8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B6A1-CE17-4F6C-9B05-7A52779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E2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2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D44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4F7E"/>
    <w:rPr>
      <w:color w:val="0000FF"/>
      <w:u w:val="single"/>
    </w:rPr>
  </w:style>
  <w:style w:type="character" w:customStyle="1" w:styleId="wmi-callto">
    <w:name w:val="wmi-callto"/>
    <w:basedOn w:val="DefaultParagraphFont"/>
    <w:rsid w:val="00F2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41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6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78120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rs.nopri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Донских</dc:creator>
  <cp:keywords/>
  <dc:description/>
  <cp:lastModifiedBy>Галина Донских</cp:lastModifiedBy>
  <cp:revision>29</cp:revision>
  <cp:lastPrinted>2018-06-26T08:25:00Z</cp:lastPrinted>
  <dcterms:created xsi:type="dcterms:W3CDTF">2020-08-25T13:56:00Z</dcterms:created>
  <dcterms:modified xsi:type="dcterms:W3CDTF">2020-09-24T13:05:00Z</dcterms:modified>
</cp:coreProperties>
</file>